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296C82" w:rsidRDefault="00296C82">
      <w:pPr>
        <w:rPr>
          <w:rFonts w:ascii="Times New Roman" w:eastAsia="Times New Roman" w:hAnsi="Times New Roman" w:cs="Times New Roman"/>
          <w:b/>
          <w:bCs/>
          <w:sz w:val="26"/>
          <w:szCs w:val="26"/>
        </w:rPr>
      </w:pPr>
    </w:p>
    <w:p w14:paraId="00000002" w14:textId="77777777" w:rsidR="00296C82"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BILL SUMMARIES</w:t>
      </w:r>
    </w:p>
    <w:p w14:paraId="00000003" w14:textId="77777777" w:rsidR="00296C82" w:rsidRDefault="00000000">
      <w:pPr>
        <w:rPr>
          <w:rFonts w:ascii="Times New Roman" w:eastAsia="Times New Roman" w:hAnsi="Times New Roman" w:cs="Times New Roman"/>
          <w:b/>
          <w:bCs/>
        </w:rPr>
      </w:pPr>
      <w:hyperlink r:id="rId5">
        <w:r>
          <w:rPr>
            <w:rFonts w:ascii="Times New Roman" w:eastAsia="Times New Roman" w:hAnsi="Times New Roman" w:cs="Times New Roman"/>
            <w:b/>
            <w:bCs/>
            <w:color w:val="1155CC"/>
            <w:u w:val="single"/>
          </w:rPr>
          <w:t>HB26-1221</w:t>
        </w:r>
      </w:hyperlink>
      <w:r>
        <w:rPr>
          <w:rFonts w:ascii="Times New Roman" w:eastAsia="Times New Roman" w:hAnsi="Times New Roman" w:cs="Times New Roman"/>
          <w:b/>
          <w:bCs/>
        </w:rPr>
        <w:t xml:space="preserve"> - Tax Expenditure Adjustments </w:t>
      </w:r>
    </w:p>
    <w:p w14:paraId="00000004" w14:textId="77777777" w:rsidR="00296C82" w:rsidRDefault="00000000">
      <w:pPr>
        <w:ind w:firstLine="480"/>
        <w:rPr>
          <w:rFonts w:ascii="Times New Roman" w:eastAsia="Times New Roman" w:hAnsi="Times New Roman" w:cs="Times New Roman"/>
          <w:color w:val="2D2E2F"/>
        </w:rPr>
      </w:pPr>
      <w:r>
        <w:rPr>
          <w:rFonts w:ascii="Times New Roman" w:eastAsia="Times New Roman" w:hAnsi="Times New Roman" w:cs="Times New Roman"/>
          <w:color w:val="2D2E2F"/>
        </w:rPr>
        <w:t xml:space="preserve">     The bill adjusts </w:t>
      </w:r>
      <w:r>
        <w:rPr>
          <w:rFonts w:ascii="Times New Roman" w:eastAsia="Times New Roman" w:hAnsi="Times New Roman" w:cs="Times New Roman"/>
          <w:strike/>
          <w:color w:val="2D2E2F"/>
        </w:rPr>
        <w:t>3</w:t>
      </w:r>
      <w:r>
        <w:rPr>
          <w:rFonts w:ascii="Times New Roman" w:eastAsia="Times New Roman" w:hAnsi="Times New Roman" w:cs="Times New Roman"/>
          <w:color w:val="2D2E2F"/>
        </w:rPr>
        <w:t xml:space="preserve"> </w:t>
      </w:r>
      <w:r>
        <w:rPr>
          <w:rFonts w:ascii="Times New Roman" w:eastAsia="Times New Roman" w:hAnsi="Times New Roman" w:cs="Times New Roman"/>
          <w:i/>
          <w:iCs/>
          <w:color w:val="2D2E2F"/>
        </w:rPr>
        <w:t>2</w:t>
      </w:r>
      <w:r>
        <w:rPr>
          <w:rFonts w:ascii="Times New Roman" w:eastAsia="Times New Roman" w:hAnsi="Times New Roman" w:cs="Times New Roman"/>
          <w:color w:val="2D2E2F"/>
        </w:rPr>
        <w:t xml:space="preserve"> existing tax expenditures.</w:t>
      </w:r>
    </w:p>
    <w:p w14:paraId="00000005" w14:textId="77777777" w:rsidR="00296C82" w:rsidRDefault="00000000">
      <w:pPr>
        <w:numPr>
          <w:ilvl w:val="0"/>
          <w:numId w:val="3"/>
        </w:numPr>
      </w:pPr>
      <w:r>
        <w:rPr>
          <w:rFonts w:ascii="Times New Roman" w:eastAsia="Times New Roman" w:hAnsi="Times New Roman" w:cs="Times New Roman"/>
          <w:b/>
          <w:bCs/>
          <w:strike/>
          <w:color w:val="2D2E2F"/>
        </w:rPr>
        <w:t>Section 2</w:t>
      </w:r>
      <w:r>
        <w:rPr>
          <w:rFonts w:ascii="Times New Roman" w:eastAsia="Times New Roman" w:hAnsi="Times New Roman" w:cs="Times New Roman"/>
          <w:color w:val="2D2E2F"/>
        </w:rPr>
        <w:t xml:space="preserve"> </w:t>
      </w:r>
      <w:r>
        <w:rPr>
          <w:rFonts w:ascii="Times New Roman" w:eastAsia="Times New Roman" w:hAnsi="Times New Roman" w:cs="Times New Roman"/>
          <w:strike/>
          <w:color w:val="2D2E2F"/>
        </w:rPr>
        <w:t>of the bill limits the alternative minimum tax credit to income tax years commencing prior to January 1, 2026;</w:t>
      </w:r>
    </w:p>
    <w:p w14:paraId="00000006" w14:textId="77777777" w:rsidR="00296C82" w:rsidRDefault="00000000">
      <w:pPr>
        <w:numPr>
          <w:ilvl w:val="0"/>
          <w:numId w:val="3"/>
        </w:numPr>
      </w:pPr>
      <w:r>
        <w:rPr>
          <w:rFonts w:ascii="Times New Roman" w:eastAsia="Times New Roman" w:hAnsi="Times New Roman" w:cs="Times New Roman"/>
          <w:b/>
          <w:bCs/>
          <w:color w:val="2D2E2F"/>
        </w:rPr>
        <w:t xml:space="preserve">Section </w:t>
      </w:r>
      <w:r>
        <w:rPr>
          <w:rFonts w:ascii="Times New Roman" w:eastAsia="Times New Roman" w:hAnsi="Times New Roman" w:cs="Times New Roman"/>
          <w:b/>
          <w:bCs/>
          <w:strike/>
          <w:color w:val="2D2E2F"/>
        </w:rPr>
        <w:t>4</w:t>
      </w:r>
      <w:r>
        <w:rPr>
          <w:rFonts w:ascii="Times New Roman" w:eastAsia="Times New Roman" w:hAnsi="Times New Roman" w:cs="Times New Roman"/>
          <w:color w:val="2D2E2F"/>
        </w:rPr>
        <w:t xml:space="preserve"> </w:t>
      </w:r>
      <w:r>
        <w:rPr>
          <w:rFonts w:ascii="Times New Roman" w:eastAsia="Times New Roman" w:hAnsi="Times New Roman" w:cs="Times New Roman"/>
          <w:b/>
          <w:bCs/>
          <w:i/>
          <w:iCs/>
          <w:color w:val="2D2E2F"/>
        </w:rPr>
        <w:t>3</w:t>
      </w:r>
      <w:r>
        <w:rPr>
          <w:rFonts w:ascii="Times New Roman" w:eastAsia="Times New Roman" w:hAnsi="Times New Roman" w:cs="Times New Roman"/>
          <w:color w:val="2D2E2F"/>
        </w:rPr>
        <w:t xml:space="preserve"> requires a corporation, for purposes of determining their state taxable income for state income tax years commencing on or after January 1, 2027, to add to their federal taxable income the amount, if any, that the taxpayer claimed as a deduction on the taxpayer's federal tax return pursuant to the employee remuneration deduction allowed pursuant to section 162 (m) of the internal revenue code; and</w:t>
      </w:r>
    </w:p>
    <w:p w14:paraId="00000007" w14:textId="77777777" w:rsidR="00296C82" w:rsidRDefault="00000000">
      <w:pPr>
        <w:numPr>
          <w:ilvl w:val="0"/>
          <w:numId w:val="3"/>
        </w:numPr>
      </w:pPr>
      <w:r>
        <w:rPr>
          <w:rFonts w:ascii="Times New Roman" w:eastAsia="Times New Roman" w:hAnsi="Times New Roman" w:cs="Times New Roman"/>
          <w:b/>
          <w:bCs/>
          <w:color w:val="2D2E2F"/>
        </w:rPr>
        <w:t xml:space="preserve">Section </w:t>
      </w:r>
      <w:r>
        <w:rPr>
          <w:rFonts w:ascii="Times New Roman" w:eastAsia="Times New Roman" w:hAnsi="Times New Roman" w:cs="Times New Roman"/>
          <w:b/>
          <w:bCs/>
          <w:strike/>
          <w:color w:val="2D2E2F"/>
        </w:rPr>
        <w:t>5</w:t>
      </w:r>
      <w:r>
        <w:rPr>
          <w:rFonts w:ascii="Times New Roman" w:eastAsia="Times New Roman" w:hAnsi="Times New Roman" w:cs="Times New Roman"/>
          <w:color w:val="2D2E2F"/>
        </w:rPr>
        <w:t xml:space="preserve"> </w:t>
      </w:r>
      <w:r>
        <w:rPr>
          <w:rFonts w:ascii="Times New Roman" w:eastAsia="Times New Roman" w:hAnsi="Times New Roman" w:cs="Times New Roman"/>
          <w:b/>
          <w:bCs/>
          <w:i/>
          <w:iCs/>
          <w:color w:val="2D2E2F"/>
        </w:rPr>
        <w:t>4</w:t>
      </w:r>
      <w:r>
        <w:rPr>
          <w:rFonts w:ascii="Times New Roman" w:eastAsia="Times New Roman" w:hAnsi="Times New Roman" w:cs="Times New Roman"/>
          <w:color w:val="2D2E2F"/>
        </w:rPr>
        <w:t xml:space="preserve"> limits the period of time that net operating losses generated in income tax years commencing on or after January 1, 2027, can be carried forward from 20 years to 10 years and limits the amount of losses that may be claimed to 70% rather than 80%.</w:t>
      </w:r>
    </w:p>
    <w:p w14:paraId="00000008" w14:textId="77777777" w:rsidR="00296C82" w:rsidRDefault="00000000">
      <w:pPr>
        <w:ind w:firstLine="480"/>
        <w:rPr>
          <w:rFonts w:ascii="Times New Roman" w:eastAsia="Times New Roman" w:hAnsi="Times New Roman" w:cs="Times New Roman"/>
          <w:color w:val="06011E"/>
          <w:highlight w:val="white"/>
        </w:rPr>
      </w:pPr>
      <w:r>
        <w:rPr>
          <w:rFonts w:ascii="Times New Roman" w:eastAsia="Times New Roman" w:hAnsi="Times New Roman" w:cs="Times New Roman"/>
          <w:color w:val="2D2E2F"/>
        </w:rPr>
        <w:t xml:space="preserve">      </w:t>
      </w:r>
      <w:r>
        <w:rPr>
          <w:rFonts w:ascii="Times New Roman" w:eastAsia="Times New Roman" w:hAnsi="Times New Roman" w:cs="Times New Roman"/>
          <w:b/>
          <w:bCs/>
          <w:color w:val="2D2E2F"/>
        </w:rPr>
        <w:t xml:space="preserve">Section </w:t>
      </w:r>
      <w:r>
        <w:rPr>
          <w:rFonts w:ascii="Times New Roman" w:eastAsia="Times New Roman" w:hAnsi="Times New Roman" w:cs="Times New Roman"/>
          <w:b/>
          <w:bCs/>
          <w:strike/>
          <w:color w:val="2D2E2F"/>
        </w:rPr>
        <w:t>3</w:t>
      </w:r>
      <w:r>
        <w:rPr>
          <w:rFonts w:ascii="Times New Roman" w:eastAsia="Times New Roman" w:hAnsi="Times New Roman" w:cs="Times New Roman"/>
          <w:color w:val="2D2E2F"/>
        </w:rPr>
        <w:t xml:space="preserve"> </w:t>
      </w:r>
      <w:r>
        <w:rPr>
          <w:rFonts w:ascii="Times New Roman" w:eastAsia="Times New Roman" w:hAnsi="Times New Roman" w:cs="Times New Roman"/>
          <w:b/>
          <w:bCs/>
          <w:i/>
          <w:iCs/>
          <w:color w:val="2D2E2F"/>
        </w:rPr>
        <w:t>2</w:t>
      </w:r>
      <w:r>
        <w:rPr>
          <w:rFonts w:ascii="Times New Roman" w:eastAsia="Times New Roman" w:hAnsi="Times New Roman" w:cs="Times New Roman"/>
          <w:color w:val="2D2E2F"/>
        </w:rPr>
        <w:t xml:space="preserve"> creates a new tax credit. The new tax credit allows taxpayers to claim a refundable tax credit, in addition to the child tax credit and the family affordability tax credit, in an amount determined by the amount and age of the taxpayer's children and the taxpayer's income. The total amount of the new tax credit is adjusted annually based on legislative council staff projections, such that the total amount of the new tax credit claimed in an income tax year is projected to be the same as the amount of revenue raised in </w:t>
      </w:r>
      <w:r>
        <w:rPr>
          <w:rFonts w:ascii="Times New Roman" w:eastAsia="Times New Roman" w:hAnsi="Times New Roman" w:cs="Times New Roman"/>
          <w:b/>
          <w:bCs/>
          <w:color w:val="2D2E2F"/>
        </w:rPr>
        <w:t xml:space="preserve">sections </w:t>
      </w:r>
      <w:r>
        <w:rPr>
          <w:rFonts w:ascii="Times New Roman" w:eastAsia="Times New Roman" w:hAnsi="Times New Roman" w:cs="Times New Roman"/>
          <w:b/>
          <w:bCs/>
          <w:strike/>
          <w:color w:val="2D2E2F"/>
        </w:rPr>
        <w:t>2, 4,</w:t>
      </w:r>
      <w:r>
        <w:rPr>
          <w:rFonts w:ascii="Times New Roman" w:eastAsia="Times New Roman" w:hAnsi="Times New Roman" w:cs="Times New Roman"/>
          <w:color w:val="2D2E2F"/>
        </w:rPr>
        <w:t xml:space="preserve"> </w:t>
      </w:r>
      <w:r>
        <w:rPr>
          <w:rFonts w:ascii="Times New Roman" w:eastAsia="Times New Roman" w:hAnsi="Times New Roman" w:cs="Times New Roman"/>
          <w:b/>
          <w:bCs/>
          <w:i/>
          <w:iCs/>
          <w:color w:val="2D2E2F"/>
        </w:rPr>
        <w:t>3</w:t>
      </w:r>
      <w:r>
        <w:rPr>
          <w:rFonts w:ascii="Times New Roman" w:eastAsia="Times New Roman" w:hAnsi="Times New Roman" w:cs="Times New Roman"/>
          <w:color w:val="2D2E2F"/>
        </w:rPr>
        <w:t xml:space="preserve"> and </w:t>
      </w:r>
      <w:r>
        <w:rPr>
          <w:rFonts w:ascii="Times New Roman" w:eastAsia="Times New Roman" w:hAnsi="Times New Roman" w:cs="Times New Roman"/>
          <w:b/>
          <w:bCs/>
          <w:strike/>
          <w:color w:val="2D2E2F"/>
        </w:rPr>
        <w:t>5</w:t>
      </w:r>
      <w:r>
        <w:rPr>
          <w:rFonts w:ascii="Times New Roman" w:eastAsia="Times New Roman" w:hAnsi="Times New Roman" w:cs="Times New Roman"/>
          <w:color w:val="2D2E2F"/>
        </w:rPr>
        <w:t xml:space="preserve"> </w:t>
      </w:r>
      <w:r>
        <w:rPr>
          <w:rFonts w:ascii="Times New Roman" w:eastAsia="Times New Roman" w:hAnsi="Times New Roman" w:cs="Times New Roman"/>
          <w:b/>
          <w:bCs/>
          <w:i/>
          <w:iCs/>
          <w:color w:val="2D2E2F"/>
        </w:rPr>
        <w:t>4</w:t>
      </w:r>
      <w:r>
        <w:rPr>
          <w:rFonts w:ascii="Times New Roman" w:eastAsia="Times New Roman" w:hAnsi="Times New Roman" w:cs="Times New Roman"/>
          <w:color w:val="2D2E2F"/>
        </w:rPr>
        <w:t xml:space="preserve"> </w:t>
      </w:r>
      <w:r>
        <w:rPr>
          <w:rFonts w:ascii="Times New Roman" w:eastAsia="Times New Roman" w:hAnsi="Times New Roman" w:cs="Times New Roman"/>
          <w:b/>
          <w:bCs/>
          <w:color w:val="2D2E2F"/>
        </w:rPr>
        <w:t>.</w:t>
      </w:r>
    </w:p>
    <w:p w14:paraId="00000009" w14:textId="77777777" w:rsidR="00296C82" w:rsidRDefault="00296C82">
      <w:pPr>
        <w:rPr>
          <w:rFonts w:ascii="Times New Roman" w:eastAsia="Times New Roman" w:hAnsi="Times New Roman" w:cs="Times New Roman"/>
          <w:b/>
          <w:bCs/>
        </w:rPr>
      </w:pPr>
    </w:p>
    <w:p w14:paraId="0000000A" w14:textId="77777777" w:rsidR="00296C82" w:rsidRDefault="00000000">
      <w:pPr>
        <w:rPr>
          <w:rFonts w:ascii="Times New Roman" w:eastAsia="Times New Roman" w:hAnsi="Times New Roman" w:cs="Times New Roman"/>
          <w:b/>
          <w:bCs/>
        </w:rPr>
      </w:pPr>
      <w:hyperlink r:id="rId6">
        <w:r>
          <w:rPr>
            <w:rFonts w:ascii="Times New Roman" w:eastAsia="Times New Roman" w:hAnsi="Times New Roman" w:cs="Times New Roman"/>
            <w:b/>
            <w:bCs/>
            <w:color w:val="1155CC"/>
            <w:u w:val="single"/>
          </w:rPr>
          <w:t>HB26-1222</w:t>
        </w:r>
      </w:hyperlink>
      <w:r>
        <w:rPr>
          <w:rFonts w:ascii="Times New Roman" w:eastAsia="Times New Roman" w:hAnsi="Times New Roman" w:cs="Times New Roman"/>
          <w:b/>
          <w:bCs/>
        </w:rPr>
        <w:t xml:space="preserve"> - Modify Tax Expenditures </w:t>
      </w:r>
    </w:p>
    <w:p w14:paraId="0000000B" w14:textId="77777777" w:rsidR="00296C82" w:rsidRDefault="00000000">
      <w:pPr>
        <w:ind w:firstLine="480"/>
        <w:rPr>
          <w:rFonts w:ascii="Times New Roman" w:eastAsia="Times New Roman" w:hAnsi="Times New Roman" w:cs="Times New Roman"/>
          <w:color w:val="2D2E2F"/>
        </w:rPr>
      </w:pPr>
      <w:r>
        <w:rPr>
          <w:rFonts w:ascii="Times New Roman" w:eastAsia="Times New Roman" w:hAnsi="Times New Roman" w:cs="Times New Roman"/>
          <w:color w:val="2D2E2F"/>
        </w:rPr>
        <w:t xml:space="preserve">(Summary has not been updated - this is the as introduced summary) </w:t>
      </w:r>
    </w:p>
    <w:p w14:paraId="0000000C" w14:textId="77777777" w:rsidR="00296C82" w:rsidRDefault="00000000">
      <w:pPr>
        <w:ind w:firstLine="480"/>
        <w:rPr>
          <w:rFonts w:ascii="Times New Roman" w:eastAsia="Times New Roman" w:hAnsi="Times New Roman" w:cs="Times New Roman"/>
          <w:color w:val="2D2E2F"/>
        </w:rPr>
      </w:pPr>
      <w:r>
        <w:rPr>
          <w:rFonts w:ascii="Times New Roman" w:eastAsia="Times New Roman" w:hAnsi="Times New Roman" w:cs="Times New Roman"/>
          <w:color w:val="2D2E2F"/>
        </w:rPr>
        <w:t>Recent changes to the federal income tax code significantly increased the amount of business-related expenses that may be deducted for federal income tax purposes as follows:</w:t>
      </w:r>
    </w:p>
    <w:p w14:paraId="0000000D" w14:textId="77777777" w:rsidR="00296C82" w:rsidRDefault="00000000">
      <w:pPr>
        <w:numPr>
          <w:ilvl w:val="0"/>
          <w:numId w:val="2"/>
        </w:numPr>
      </w:pPr>
      <w:r>
        <w:rPr>
          <w:rFonts w:ascii="Times New Roman" w:eastAsia="Times New Roman" w:hAnsi="Times New Roman" w:cs="Times New Roman"/>
          <w:color w:val="2D2E2F"/>
        </w:rPr>
        <w:t xml:space="preserve">Expanded the business interest deduction limitation pursuant to section 163 (j) of the internal revenue code (IRC) by adding back depreciation, amortization, and depletion for calculation of adjusted taxable income and determination of the deduction base, resulting in many taxpayers, especially capital intensive businesses, being able to deduct a larger portion of their business interest expense; </w:t>
      </w:r>
    </w:p>
    <w:p w14:paraId="0000000E" w14:textId="77777777" w:rsidR="00296C82" w:rsidRDefault="00000000">
      <w:pPr>
        <w:numPr>
          <w:ilvl w:val="0"/>
          <w:numId w:val="2"/>
        </w:numPr>
      </w:pPr>
      <w:r>
        <w:rPr>
          <w:rFonts w:ascii="Times New Roman" w:eastAsia="Times New Roman" w:hAnsi="Times New Roman" w:cs="Times New Roman"/>
          <w:color w:val="2D2E2F"/>
        </w:rPr>
        <w:t>Expanded the bonus depreciation deduction pursuant to section 168 (k) of the IRC by permanently restoring the 100% first-year bonus depreciation deduction for 'qualified property' acquired and placed in service on or after January 20, 2025;</w:t>
      </w:r>
    </w:p>
    <w:p w14:paraId="0000000F" w14:textId="77777777" w:rsidR="00296C82" w:rsidRDefault="00000000">
      <w:pPr>
        <w:numPr>
          <w:ilvl w:val="0"/>
          <w:numId w:val="2"/>
        </w:numPr>
      </w:pPr>
      <w:r>
        <w:rPr>
          <w:rFonts w:ascii="Times New Roman" w:eastAsia="Times New Roman" w:hAnsi="Times New Roman" w:cs="Times New Roman"/>
          <w:color w:val="2D2E2F"/>
        </w:rPr>
        <w:t>Created an elective 100% depreciation deduction in section 168 (n) of the IRC for 'qualified production property', which is property largely tied to manufacturing, production, or refining facilities and that would not otherwise qualify for section 168 (k) bonus depreciation; and</w:t>
      </w:r>
    </w:p>
    <w:p w14:paraId="00000010" w14:textId="77777777" w:rsidR="00296C82" w:rsidRDefault="00000000">
      <w:pPr>
        <w:numPr>
          <w:ilvl w:val="0"/>
          <w:numId w:val="2"/>
        </w:numPr>
      </w:pPr>
      <w:r>
        <w:rPr>
          <w:rFonts w:ascii="Times New Roman" w:eastAsia="Times New Roman" w:hAnsi="Times New Roman" w:cs="Times New Roman"/>
          <w:color w:val="2D2E2F"/>
        </w:rPr>
        <w:t>Created a new section 174A of the IRC that allows taxpayers to immediately deduct domestic research and experimental expenditures paid or incurred during the taxable year, rather than requiring such costs to be capitalized and amortized over time.</w:t>
      </w:r>
    </w:p>
    <w:p w14:paraId="00000011" w14:textId="77777777" w:rsidR="00296C82" w:rsidRDefault="00000000">
      <w:pPr>
        <w:ind w:firstLine="480"/>
        <w:rPr>
          <w:rFonts w:ascii="Times New Roman" w:eastAsia="Times New Roman" w:hAnsi="Times New Roman" w:cs="Times New Roman"/>
          <w:color w:val="2D2E2F"/>
        </w:rPr>
      </w:pPr>
      <w:r>
        <w:rPr>
          <w:rFonts w:ascii="Times New Roman" w:eastAsia="Times New Roman" w:hAnsi="Times New Roman" w:cs="Times New Roman"/>
          <w:color w:val="2D2E2F"/>
        </w:rPr>
        <w:t xml:space="preserve">     Because the state income tax is imposed on federal taxable income, these changes to the definition of federal income also exclude these business-related expenses from state income taxation. The bill reverses these changes to the federal tax code for purposes of the state income tax code and creates a new tax credit using the resulting revenue.</w:t>
      </w:r>
    </w:p>
    <w:p w14:paraId="00000012" w14:textId="77777777" w:rsidR="00296C82" w:rsidRDefault="00000000">
      <w:pPr>
        <w:ind w:firstLine="480"/>
        <w:rPr>
          <w:rFonts w:ascii="Times New Roman" w:eastAsia="Times New Roman" w:hAnsi="Times New Roman" w:cs="Times New Roman"/>
          <w:color w:val="2D2E2F"/>
        </w:rPr>
      </w:pPr>
      <w:r>
        <w:rPr>
          <w:rFonts w:ascii="Times New Roman" w:eastAsia="Times New Roman" w:hAnsi="Times New Roman" w:cs="Times New Roman"/>
          <w:color w:val="2D2E2F"/>
        </w:rPr>
        <w:t xml:space="preserve">      </w:t>
      </w:r>
      <w:r>
        <w:rPr>
          <w:rFonts w:ascii="Times New Roman" w:eastAsia="Times New Roman" w:hAnsi="Times New Roman" w:cs="Times New Roman"/>
          <w:b/>
          <w:bCs/>
          <w:color w:val="2D2E2F"/>
        </w:rPr>
        <w:t>Sections 2</w:t>
      </w:r>
      <w:r>
        <w:rPr>
          <w:rFonts w:ascii="Times New Roman" w:eastAsia="Times New Roman" w:hAnsi="Times New Roman" w:cs="Times New Roman"/>
          <w:color w:val="2D2E2F"/>
        </w:rPr>
        <w:t xml:space="preserve"> and </w:t>
      </w:r>
      <w:r>
        <w:rPr>
          <w:rFonts w:ascii="Times New Roman" w:eastAsia="Times New Roman" w:hAnsi="Times New Roman" w:cs="Times New Roman"/>
          <w:b/>
          <w:bCs/>
          <w:color w:val="2D2E2F"/>
        </w:rPr>
        <w:t>4</w:t>
      </w:r>
      <w:r>
        <w:rPr>
          <w:rFonts w:ascii="Times New Roman" w:eastAsia="Times New Roman" w:hAnsi="Times New Roman" w:cs="Times New Roman"/>
          <w:color w:val="2D2E2F"/>
        </w:rPr>
        <w:t xml:space="preserve"> of the bill provide, for income tax years commencing on or after January 1, 2027, that individual and corporate state income taxpayers must add the following to their federal taxable income for purposes of applying the state income tax: </w:t>
      </w:r>
    </w:p>
    <w:p w14:paraId="00000013" w14:textId="77777777" w:rsidR="00296C82" w:rsidRDefault="00000000">
      <w:pPr>
        <w:numPr>
          <w:ilvl w:val="0"/>
          <w:numId w:val="1"/>
        </w:numPr>
      </w:pPr>
      <w:r>
        <w:rPr>
          <w:rFonts w:ascii="Times New Roman" w:eastAsia="Times New Roman" w:hAnsi="Times New Roman" w:cs="Times New Roman"/>
          <w:color w:val="2D2E2F"/>
        </w:rPr>
        <w:t>An amount equal to the federal deduction claimed by the taxpayer for business interest pursuant to the limitation in section 163 (j) of the IRC to the extent the amount exceeds the amount the taxpayer would have been allowed to claim before the limitation was changed as described above;</w:t>
      </w:r>
    </w:p>
    <w:p w14:paraId="00000014" w14:textId="77777777" w:rsidR="00296C82" w:rsidRDefault="00000000">
      <w:pPr>
        <w:numPr>
          <w:ilvl w:val="0"/>
          <w:numId w:val="1"/>
        </w:numPr>
      </w:pPr>
      <w:r>
        <w:rPr>
          <w:rFonts w:ascii="Times New Roman" w:eastAsia="Times New Roman" w:hAnsi="Times New Roman" w:cs="Times New Roman"/>
          <w:color w:val="2D2E2F"/>
        </w:rPr>
        <w:t xml:space="preserve">An amount equal to the federal deduction claimed by the taxpayer for qualified property depreciation pursuant to section 168 (k) of the IRC to the extent the amount claimed exceeds the amount the taxpayer would have been allowed to claim under section 168 (k) prior to the change described above; except that, the taxpayer may reduce </w:t>
      </w:r>
      <w:r>
        <w:rPr>
          <w:rFonts w:ascii="Times New Roman" w:eastAsia="Times New Roman" w:hAnsi="Times New Roman" w:cs="Times New Roman"/>
          <w:color w:val="2D2E2F"/>
        </w:rPr>
        <w:lastRenderedPageBreak/>
        <w:t>the amount required to be added back by the amount of depreciation the taxpayer would have been allowed to claim for the taxable year with respect to the same property pursuant to any section other than section 168 (k) of the IRC prior to the recent federal changes;</w:t>
      </w:r>
    </w:p>
    <w:p w14:paraId="00000015" w14:textId="77777777" w:rsidR="00296C82" w:rsidRDefault="00000000">
      <w:pPr>
        <w:numPr>
          <w:ilvl w:val="0"/>
          <w:numId w:val="1"/>
        </w:numPr>
      </w:pPr>
      <w:r>
        <w:rPr>
          <w:rFonts w:ascii="Times New Roman" w:eastAsia="Times New Roman" w:hAnsi="Times New Roman" w:cs="Times New Roman"/>
          <w:color w:val="2D2E2F"/>
        </w:rPr>
        <w:t>An amount equal to the federal deduction claimed by the taxpayer for qualified production property depreciation pursuant to section 168 (n) of the IRC; except that, the taxpayer may reduce the amount required to be added back by the amount of depreciation the taxpayer would have been allowed to claim for the taxable year with respect to the same property pursuant to any section other than section 168 (k) of the IRC prior to the recent federal change; and</w:t>
      </w:r>
    </w:p>
    <w:p w14:paraId="00000016" w14:textId="77777777" w:rsidR="00296C82" w:rsidRDefault="00000000">
      <w:pPr>
        <w:numPr>
          <w:ilvl w:val="0"/>
          <w:numId w:val="1"/>
        </w:numPr>
      </w:pPr>
      <w:r>
        <w:rPr>
          <w:rFonts w:ascii="Times New Roman" w:eastAsia="Times New Roman" w:hAnsi="Times New Roman" w:cs="Times New Roman"/>
          <w:color w:val="2D2E2F"/>
        </w:rPr>
        <w:t>An amount equal to the federal deduction claimed by the taxpayer for the income tax year for domestic research and experimental expenditures pursuant to section 174A of the IRC; except that, the taxpayer may reduce the amount required to be added back by the amount of the deduction the taxpayer would have been allowed to claim for the taxable year with respect to the same research and experimental expenditures pursuant to section 174 of the IRC prior to the recent federal changes.</w:t>
      </w:r>
    </w:p>
    <w:p w14:paraId="00000017" w14:textId="77777777" w:rsidR="00296C82" w:rsidRDefault="00000000">
      <w:pPr>
        <w:ind w:firstLine="480"/>
        <w:rPr>
          <w:rFonts w:ascii="Times New Roman" w:eastAsia="Times New Roman" w:hAnsi="Times New Roman" w:cs="Times New Roman"/>
          <w:color w:val="2D2E2F"/>
        </w:rPr>
      </w:pPr>
      <w:r>
        <w:rPr>
          <w:rFonts w:ascii="Times New Roman" w:eastAsia="Times New Roman" w:hAnsi="Times New Roman" w:cs="Times New Roman"/>
          <w:color w:val="2D2E2F"/>
        </w:rPr>
        <w:t xml:space="preserve">      </w:t>
      </w:r>
      <w:r>
        <w:rPr>
          <w:rFonts w:ascii="Times New Roman" w:eastAsia="Times New Roman" w:hAnsi="Times New Roman" w:cs="Times New Roman"/>
          <w:b/>
          <w:bCs/>
          <w:color w:val="2D2E2F"/>
        </w:rPr>
        <w:t>Sections 2</w:t>
      </w:r>
      <w:r>
        <w:rPr>
          <w:rFonts w:ascii="Times New Roman" w:eastAsia="Times New Roman" w:hAnsi="Times New Roman" w:cs="Times New Roman"/>
          <w:color w:val="2D2E2F"/>
        </w:rPr>
        <w:t xml:space="preserve"> and </w:t>
      </w:r>
      <w:r>
        <w:rPr>
          <w:rFonts w:ascii="Times New Roman" w:eastAsia="Times New Roman" w:hAnsi="Times New Roman" w:cs="Times New Roman"/>
          <w:b/>
          <w:bCs/>
          <w:color w:val="2D2E2F"/>
        </w:rPr>
        <w:t>4</w:t>
      </w:r>
      <w:r>
        <w:rPr>
          <w:rFonts w:ascii="Times New Roman" w:eastAsia="Times New Roman" w:hAnsi="Times New Roman" w:cs="Times New Roman"/>
          <w:color w:val="2D2E2F"/>
        </w:rPr>
        <w:t xml:space="preserve"> allow taxpayers who are required to make additions to their federal taxable income pursuant to the new provisions to subtract the amounts of their disallowed federal deductions over time, using time periods that reflect how the property or expense would have been treated prior to the recent changes to the federal tax code. </w:t>
      </w:r>
    </w:p>
    <w:p w14:paraId="00000018" w14:textId="77777777" w:rsidR="00296C82" w:rsidRDefault="00000000">
      <w:pPr>
        <w:ind w:firstLine="480"/>
        <w:rPr>
          <w:rFonts w:ascii="Times New Roman" w:eastAsia="Times New Roman" w:hAnsi="Times New Roman" w:cs="Times New Roman"/>
          <w:b/>
          <w:bCs/>
        </w:rPr>
      </w:pPr>
      <w:r>
        <w:rPr>
          <w:rFonts w:ascii="Times New Roman" w:eastAsia="Times New Roman" w:hAnsi="Times New Roman" w:cs="Times New Roman"/>
          <w:color w:val="2D2E2F"/>
        </w:rPr>
        <w:t xml:space="preserve">      </w:t>
      </w:r>
      <w:r>
        <w:rPr>
          <w:rFonts w:ascii="Times New Roman" w:eastAsia="Times New Roman" w:hAnsi="Times New Roman" w:cs="Times New Roman"/>
          <w:b/>
          <w:bCs/>
          <w:color w:val="2D2E2F"/>
        </w:rPr>
        <w:t>Section 3</w:t>
      </w:r>
      <w:r>
        <w:rPr>
          <w:rFonts w:ascii="Times New Roman" w:eastAsia="Times New Roman" w:hAnsi="Times New Roman" w:cs="Times New Roman"/>
          <w:color w:val="2D2E2F"/>
        </w:rPr>
        <w:t xml:space="preserve"> creates a new tax credit. The new tax credit allows taxpayers to claim a refundable tax credit, in addition to the child tax credit and the family affordability tax credit, in an amount determined by the amount and age of the taxpayer's children and the taxpayer's income. The total amount of the new tax credit is adjusted annually based on legislative council staff projections, such that the total amount of the new tax credit claimed in an income tax year is projected to be the same as the amount of revenue raised in </w:t>
      </w:r>
      <w:r>
        <w:rPr>
          <w:rFonts w:ascii="Times New Roman" w:eastAsia="Times New Roman" w:hAnsi="Times New Roman" w:cs="Times New Roman"/>
          <w:b/>
          <w:bCs/>
          <w:color w:val="2D2E2F"/>
        </w:rPr>
        <w:t>sections 2</w:t>
      </w:r>
      <w:r>
        <w:rPr>
          <w:rFonts w:ascii="Times New Roman" w:eastAsia="Times New Roman" w:hAnsi="Times New Roman" w:cs="Times New Roman"/>
          <w:color w:val="2D2E2F"/>
        </w:rPr>
        <w:t xml:space="preserve"> and </w:t>
      </w:r>
      <w:r>
        <w:rPr>
          <w:rFonts w:ascii="Times New Roman" w:eastAsia="Times New Roman" w:hAnsi="Times New Roman" w:cs="Times New Roman"/>
          <w:b/>
          <w:bCs/>
          <w:color w:val="2D2E2F"/>
        </w:rPr>
        <w:t>4.</w:t>
      </w:r>
    </w:p>
    <w:p w14:paraId="00000019" w14:textId="77777777" w:rsidR="00296C82" w:rsidRDefault="00296C82">
      <w:pPr>
        <w:rPr>
          <w:rFonts w:ascii="Times New Roman" w:eastAsia="Times New Roman" w:hAnsi="Times New Roman" w:cs="Times New Roman"/>
          <w:b/>
          <w:bCs/>
        </w:rPr>
      </w:pPr>
    </w:p>
    <w:p w14:paraId="0000001A" w14:textId="77777777" w:rsidR="00296C82" w:rsidRDefault="00000000">
      <w:pPr>
        <w:rPr>
          <w:rFonts w:ascii="Times New Roman" w:eastAsia="Times New Roman" w:hAnsi="Times New Roman" w:cs="Times New Roman"/>
          <w:b/>
          <w:bCs/>
        </w:rPr>
      </w:pPr>
      <w:hyperlink r:id="rId7">
        <w:r>
          <w:rPr>
            <w:rFonts w:ascii="Times New Roman" w:eastAsia="Times New Roman" w:hAnsi="Times New Roman" w:cs="Times New Roman"/>
            <w:b/>
            <w:bCs/>
            <w:color w:val="1155CC"/>
            <w:u w:val="single"/>
          </w:rPr>
          <w:t>HB26-1223</w:t>
        </w:r>
      </w:hyperlink>
      <w:r>
        <w:rPr>
          <w:rFonts w:ascii="Times New Roman" w:eastAsia="Times New Roman" w:hAnsi="Times New Roman" w:cs="Times New Roman"/>
          <w:b/>
          <w:bCs/>
        </w:rPr>
        <w:t xml:space="preserve"> - Modifying Certain Tax Expenditures </w:t>
      </w:r>
    </w:p>
    <w:p w14:paraId="0000001B" w14:textId="77777777" w:rsidR="00296C82" w:rsidRDefault="00000000">
      <w:pPr>
        <w:ind w:firstLine="480"/>
        <w:rPr>
          <w:rFonts w:ascii="Times New Roman" w:eastAsia="Times New Roman" w:hAnsi="Times New Roman" w:cs="Times New Roman"/>
          <w:color w:val="2D2E2F"/>
        </w:rPr>
      </w:pPr>
      <w:r>
        <w:rPr>
          <w:rFonts w:ascii="Times New Roman" w:eastAsia="Times New Roman" w:hAnsi="Times New Roman" w:cs="Times New Roman"/>
          <w:color w:val="2D2E2F"/>
        </w:rPr>
        <w:t xml:space="preserve"> (summary has not been updated - this is the as introduced summary)</w:t>
      </w:r>
    </w:p>
    <w:p w14:paraId="0000001C" w14:textId="77777777" w:rsidR="00296C82" w:rsidRDefault="00000000">
      <w:pPr>
        <w:ind w:firstLine="480"/>
        <w:rPr>
          <w:rFonts w:ascii="Times New Roman" w:eastAsia="Times New Roman" w:hAnsi="Times New Roman" w:cs="Times New Roman"/>
          <w:b/>
          <w:bCs/>
          <w:color w:val="2D2E2F"/>
        </w:rPr>
      </w:pPr>
      <w:r>
        <w:rPr>
          <w:rFonts w:ascii="Times New Roman" w:eastAsia="Times New Roman" w:hAnsi="Times New Roman" w:cs="Times New Roman"/>
          <w:b/>
          <w:bCs/>
          <w:color w:val="2D2E2F"/>
        </w:rPr>
        <w:t xml:space="preserve">Section 2 </w:t>
      </w:r>
      <w:r>
        <w:rPr>
          <w:rFonts w:ascii="Times New Roman" w:eastAsia="Times New Roman" w:hAnsi="Times New Roman" w:cs="Times New Roman"/>
          <w:color w:val="2D2E2F"/>
        </w:rPr>
        <w:t xml:space="preserve">of the bill creates a new tax credit. The new tax credit allows taxpayers to claim a refundable tax credit, in addition to the child tax credit and the family affordability tax credit, in an amount determined by the amount and age of the taxpayer's children and the taxpayer's income. The total amount of the new tax credit is adjusted annually based on legislative council staff projections, such that the total amount of the new tax credit claimed in an income tax year is projected to be the same as the amount of revenue raised in </w:t>
      </w:r>
      <w:r>
        <w:rPr>
          <w:rFonts w:ascii="Times New Roman" w:eastAsia="Times New Roman" w:hAnsi="Times New Roman" w:cs="Times New Roman"/>
          <w:b/>
          <w:bCs/>
          <w:color w:val="2D2E2F"/>
        </w:rPr>
        <w:t>sections 3</w:t>
      </w:r>
      <w:r>
        <w:rPr>
          <w:rFonts w:ascii="Times New Roman" w:eastAsia="Times New Roman" w:hAnsi="Times New Roman" w:cs="Times New Roman"/>
          <w:color w:val="2D2E2F"/>
        </w:rPr>
        <w:t xml:space="preserve"> and </w:t>
      </w:r>
      <w:r>
        <w:rPr>
          <w:rFonts w:ascii="Times New Roman" w:eastAsia="Times New Roman" w:hAnsi="Times New Roman" w:cs="Times New Roman"/>
          <w:b/>
          <w:bCs/>
          <w:color w:val="2D2E2F"/>
        </w:rPr>
        <w:t>4.</w:t>
      </w:r>
    </w:p>
    <w:p w14:paraId="0000001D" w14:textId="77777777" w:rsidR="00296C82" w:rsidRDefault="00000000">
      <w:pPr>
        <w:ind w:firstLine="480"/>
        <w:rPr>
          <w:rFonts w:ascii="Times New Roman" w:eastAsia="Times New Roman" w:hAnsi="Times New Roman" w:cs="Times New Roman"/>
        </w:rPr>
      </w:pPr>
      <w:r>
        <w:rPr>
          <w:rFonts w:ascii="Times New Roman" w:eastAsia="Times New Roman" w:hAnsi="Times New Roman" w:cs="Times New Roman"/>
          <w:color w:val="2D2E2F"/>
        </w:rPr>
        <w:t>Beginning January 1, 2027, the bill also repeals the downloaded software sales and use tax exemption so that all software that is available for repeated sale and license qualifies as tangible property and thus is subject to sales and use tax. The bill exempts from sales and use tax downloaded software governed by a negotiable license agreement or developed for use by a particular user.</w:t>
      </w:r>
    </w:p>
    <w:p w14:paraId="0000001E" w14:textId="77777777" w:rsidR="00296C82" w:rsidRDefault="00296C82">
      <w:pPr>
        <w:rPr>
          <w:rFonts w:ascii="Times New Roman" w:eastAsia="Times New Roman" w:hAnsi="Times New Roman" w:cs="Times New Roman"/>
          <w:b/>
          <w:bCs/>
        </w:rPr>
      </w:pPr>
    </w:p>
    <w:p w14:paraId="0000001F" w14:textId="77777777" w:rsidR="00296C82" w:rsidRDefault="00000000">
      <w:pPr>
        <w:rPr>
          <w:rFonts w:ascii="Times New Roman" w:eastAsia="Times New Roman" w:hAnsi="Times New Roman" w:cs="Times New Roman"/>
          <w:b/>
          <w:bCs/>
        </w:rPr>
      </w:pPr>
      <w:hyperlink r:id="rId8">
        <w:r>
          <w:rPr>
            <w:rFonts w:ascii="Times New Roman" w:eastAsia="Times New Roman" w:hAnsi="Times New Roman" w:cs="Times New Roman"/>
            <w:b/>
            <w:bCs/>
            <w:color w:val="1155CC"/>
            <w:u w:val="single"/>
          </w:rPr>
          <w:t>HB26-1289</w:t>
        </w:r>
      </w:hyperlink>
      <w:r>
        <w:rPr>
          <w:rFonts w:ascii="Times New Roman" w:eastAsia="Times New Roman" w:hAnsi="Times New Roman" w:cs="Times New Roman"/>
          <w:b/>
          <w:bCs/>
        </w:rPr>
        <w:t xml:space="preserve"> - Modification of Certain Tax Expenditures </w:t>
      </w:r>
    </w:p>
    <w:p w14:paraId="00000020" w14:textId="77777777" w:rsidR="00296C82" w:rsidRDefault="00000000">
      <w:pPr>
        <w:ind w:firstLine="480"/>
        <w:rPr>
          <w:rFonts w:ascii="Times New Roman" w:eastAsia="Times New Roman" w:hAnsi="Times New Roman" w:cs="Times New Roman"/>
          <w:color w:val="2D2E2F"/>
        </w:rPr>
      </w:pPr>
      <w:r>
        <w:rPr>
          <w:rFonts w:ascii="Times New Roman" w:eastAsia="Times New Roman" w:hAnsi="Times New Roman" w:cs="Times New Roman"/>
          <w:color w:val="2D2E2F"/>
        </w:rPr>
        <w:t xml:space="preserve"> (summary has not been updated - this is the as introduced summary)</w:t>
      </w:r>
    </w:p>
    <w:p w14:paraId="00000021" w14:textId="77777777" w:rsidR="00296C82" w:rsidRDefault="00000000">
      <w:pPr>
        <w:ind w:firstLine="480"/>
        <w:rPr>
          <w:rFonts w:ascii="Times New Roman" w:eastAsia="Times New Roman" w:hAnsi="Times New Roman" w:cs="Times New Roman"/>
          <w:color w:val="2D2E2F"/>
        </w:rPr>
      </w:pPr>
      <w:r>
        <w:rPr>
          <w:rFonts w:ascii="Times New Roman" w:eastAsia="Times New Roman" w:hAnsi="Times New Roman" w:cs="Times New Roman"/>
          <w:color w:val="2D2E2F"/>
        </w:rPr>
        <w:t>The bill adjusts several state tax expenditures as follows:</w:t>
      </w:r>
    </w:p>
    <w:p w14:paraId="00000022" w14:textId="77777777" w:rsidR="00296C82" w:rsidRDefault="00000000">
      <w:pPr>
        <w:numPr>
          <w:ilvl w:val="0"/>
          <w:numId w:val="4"/>
        </w:numPr>
      </w:pPr>
      <w:r>
        <w:rPr>
          <w:rFonts w:ascii="Times New Roman" w:eastAsia="Times New Roman" w:hAnsi="Times New Roman" w:cs="Times New Roman"/>
          <w:b/>
          <w:bCs/>
          <w:color w:val="2D2E2F"/>
        </w:rPr>
        <w:t>Section 2</w:t>
      </w:r>
      <w:r>
        <w:rPr>
          <w:rFonts w:ascii="Times New Roman" w:eastAsia="Times New Roman" w:hAnsi="Times New Roman" w:cs="Times New Roman"/>
          <w:color w:val="2D2E2F"/>
        </w:rPr>
        <w:t xml:space="preserve"> of the bill prohibits certain local use tax ordinances, resolutions, or proposals from applying to construction and building materials used by a common rail carrier pursuant to a contract with the state, a political subdivision of the state, or a special district allows the contracting government to use the carrier's property or tracks for the provision of public passenger rail service;</w:t>
      </w:r>
    </w:p>
    <w:p w14:paraId="00000023" w14:textId="77777777" w:rsidR="00296C82" w:rsidRDefault="00000000">
      <w:pPr>
        <w:numPr>
          <w:ilvl w:val="0"/>
          <w:numId w:val="4"/>
        </w:numPr>
      </w:pPr>
      <w:r>
        <w:rPr>
          <w:rFonts w:ascii="Times New Roman" w:eastAsia="Times New Roman" w:hAnsi="Times New Roman" w:cs="Times New Roman"/>
          <w:b/>
          <w:bCs/>
          <w:color w:val="2D2E2F"/>
        </w:rPr>
        <w:t>Section 3</w:t>
      </w:r>
      <w:r>
        <w:rPr>
          <w:rFonts w:ascii="Times New Roman" w:eastAsia="Times New Roman" w:hAnsi="Times New Roman" w:cs="Times New Roman"/>
          <w:color w:val="2D2E2F"/>
        </w:rPr>
        <w:t xml:space="preserve"> , for income tax years commencing on and after January 1, 2027, requires a taxpayer to add to the taxpayer's federal taxable income the excess of any gain excluded from federal gross income pursuant to section 1400Z-2 (a)(1)(A) of the internal revenue code over the gain invested by the taxpayer in a Colorado-qualified opportunity fund in a manner that qualifies for exclusion from federal gross income pursuant to the same section of the internal revenue code;</w:t>
      </w:r>
    </w:p>
    <w:p w14:paraId="00000024" w14:textId="77777777" w:rsidR="00296C82" w:rsidRDefault="00000000">
      <w:pPr>
        <w:numPr>
          <w:ilvl w:val="0"/>
          <w:numId w:val="4"/>
        </w:numPr>
      </w:pPr>
      <w:r>
        <w:rPr>
          <w:rFonts w:ascii="Times New Roman" w:eastAsia="Times New Roman" w:hAnsi="Times New Roman" w:cs="Times New Roman"/>
          <w:b/>
          <w:bCs/>
          <w:color w:val="2D2E2F"/>
        </w:rPr>
        <w:t>Section 4</w:t>
      </w:r>
      <w:r>
        <w:rPr>
          <w:rFonts w:ascii="Times New Roman" w:eastAsia="Times New Roman" w:hAnsi="Times New Roman" w:cs="Times New Roman"/>
          <w:color w:val="2D2E2F"/>
        </w:rPr>
        <w:t xml:space="preserve"> , for income tax years commencing on and after January 1, 2027, creates an income tax credit for certain individuals who are 65 years old or older in the income tax year, or who are a surviving spouse of that individual, and who were previously eligible to receive a grant for real property tax assistance and heat or fuel </w:t>
      </w:r>
      <w:r>
        <w:rPr>
          <w:rFonts w:ascii="Times New Roman" w:eastAsia="Times New Roman" w:hAnsi="Times New Roman" w:cs="Times New Roman"/>
          <w:color w:val="2D2E2F"/>
        </w:rPr>
        <w:lastRenderedPageBreak/>
        <w:t>expenses assistance;</w:t>
      </w:r>
      <w:r>
        <w:rPr>
          <w:rFonts w:ascii="Times New Roman" w:eastAsia="Times New Roman" w:hAnsi="Times New Roman" w:cs="Times New Roman"/>
          <w:color w:val="2D2E2F"/>
        </w:rPr>
        <w:br/>
        <w:t xml:space="preserve">      </w:t>
      </w:r>
    </w:p>
    <w:p w14:paraId="00000025" w14:textId="77777777" w:rsidR="00296C82" w:rsidRDefault="00000000">
      <w:pPr>
        <w:numPr>
          <w:ilvl w:val="0"/>
          <w:numId w:val="4"/>
        </w:numPr>
      </w:pPr>
      <w:r>
        <w:rPr>
          <w:rFonts w:ascii="Times New Roman" w:eastAsia="Times New Roman" w:hAnsi="Times New Roman" w:cs="Times New Roman"/>
          <w:b/>
          <w:bCs/>
          <w:color w:val="2D2E2F"/>
        </w:rPr>
        <w:t>Section 5</w:t>
      </w:r>
      <w:r>
        <w:rPr>
          <w:rFonts w:ascii="Times New Roman" w:eastAsia="Times New Roman" w:hAnsi="Times New Roman" w:cs="Times New Roman"/>
          <w:color w:val="2D2E2F"/>
        </w:rPr>
        <w:t xml:space="preserve"> , for income tax years commencing on or after January 1, 2027, allows a combined group to elect to make a water's-edge filing election and describes what should be taken into account in such a filing;</w:t>
      </w:r>
    </w:p>
    <w:p w14:paraId="00000026" w14:textId="77777777" w:rsidR="00296C82" w:rsidRDefault="00000000">
      <w:pPr>
        <w:numPr>
          <w:ilvl w:val="0"/>
          <w:numId w:val="4"/>
        </w:numPr>
      </w:pPr>
      <w:r>
        <w:rPr>
          <w:rFonts w:ascii="Times New Roman" w:eastAsia="Times New Roman" w:hAnsi="Times New Roman" w:cs="Times New Roman"/>
          <w:b/>
          <w:bCs/>
          <w:color w:val="2D2E2F"/>
        </w:rPr>
        <w:t>Section 6</w:t>
      </w:r>
      <w:r>
        <w:rPr>
          <w:rFonts w:ascii="Times New Roman" w:eastAsia="Times New Roman" w:hAnsi="Times New Roman" w:cs="Times New Roman"/>
          <w:color w:val="2D2E2F"/>
        </w:rPr>
        <w:t xml:space="preserve"> , for income tax years commencing on or after January 1, 2027, repeals the state corporate income tax deduction for wages or salaries paid that are not allowed to be deducted at the federal level pursuant to section 280C of the internal revenue code;</w:t>
      </w:r>
    </w:p>
    <w:p w14:paraId="00000027" w14:textId="77777777" w:rsidR="00296C82" w:rsidRDefault="00000000">
      <w:pPr>
        <w:numPr>
          <w:ilvl w:val="0"/>
          <w:numId w:val="4"/>
        </w:numPr>
      </w:pPr>
      <w:r>
        <w:rPr>
          <w:rFonts w:ascii="Times New Roman" w:eastAsia="Times New Roman" w:hAnsi="Times New Roman" w:cs="Times New Roman"/>
          <w:b/>
          <w:bCs/>
          <w:color w:val="2D2E2F"/>
        </w:rPr>
        <w:t>Section 6</w:t>
      </w:r>
      <w:r>
        <w:rPr>
          <w:rFonts w:ascii="Times New Roman" w:eastAsia="Times New Roman" w:hAnsi="Times New Roman" w:cs="Times New Roman"/>
          <w:color w:val="2D2E2F"/>
        </w:rPr>
        <w:t xml:space="preserve"> , for income tax years commencing on or after January 1, 2027, also eliminates the ability of corporations to deduct from their income tax liability any amount included in federal taxable income pursuant to sections 951 (a) or 951A (a) of the internal revenue code with respect to a controlled foreign corporation incorporated in a foreign jurisdiction for the purpose of tax avoidance;    </w:t>
      </w:r>
    </w:p>
    <w:p w14:paraId="00000028" w14:textId="77777777" w:rsidR="00296C82" w:rsidRDefault="00000000">
      <w:pPr>
        <w:numPr>
          <w:ilvl w:val="0"/>
          <w:numId w:val="4"/>
        </w:numPr>
      </w:pPr>
      <w:r>
        <w:rPr>
          <w:rFonts w:ascii="Times New Roman" w:eastAsia="Times New Roman" w:hAnsi="Times New Roman" w:cs="Times New Roman"/>
          <w:b/>
          <w:bCs/>
          <w:color w:val="2D2E2F"/>
        </w:rPr>
        <w:t>Sections 7, 12,</w:t>
      </w:r>
      <w:r>
        <w:rPr>
          <w:rFonts w:ascii="Times New Roman" w:eastAsia="Times New Roman" w:hAnsi="Times New Roman" w:cs="Times New Roman"/>
          <w:color w:val="2D2E2F"/>
        </w:rPr>
        <w:t xml:space="preserve"> and </w:t>
      </w:r>
      <w:r>
        <w:rPr>
          <w:rFonts w:ascii="Times New Roman" w:eastAsia="Times New Roman" w:hAnsi="Times New Roman" w:cs="Times New Roman"/>
          <w:b/>
          <w:bCs/>
          <w:color w:val="2D2E2F"/>
        </w:rPr>
        <w:t>13</w:t>
      </w:r>
      <w:r>
        <w:rPr>
          <w:rFonts w:ascii="Times New Roman" w:eastAsia="Times New Roman" w:hAnsi="Times New Roman" w:cs="Times New Roman"/>
          <w:color w:val="2D2E2F"/>
        </w:rPr>
        <w:t xml:space="preserve"> eliminate a potential reduction in the amount available for the innovative motor vehicle tax credit, the heat pump technology and thermal energy network tax credit, and the electric bicycle tax credit, respectively, based on an economic forecast by the office of state planning and budgeting or legislative council staff;</w:t>
      </w:r>
    </w:p>
    <w:p w14:paraId="00000029" w14:textId="77777777" w:rsidR="00296C82" w:rsidRDefault="00000000">
      <w:pPr>
        <w:numPr>
          <w:ilvl w:val="0"/>
          <w:numId w:val="4"/>
        </w:numPr>
      </w:pPr>
      <w:r>
        <w:rPr>
          <w:rFonts w:ascii="Times New Roman" w:eastAsia="Times New Roman" w:hAnsi="Times New Roman" w:cs="Times New Roman"/>
          <w:b/>
          <w:bCs/>
          <w:color w:val="2D2E2F"/>
        </w:rPr>
        <w:t xml:space="preserve">Section 7 </w:t>
      </w:r>
      <w:r>
        <w:rPr>
          <w:rFonts w:ascii="Times New Roman" w:eastAsia="Times New Roman" w:hAnsi="Times New Roman" w:cs="Times New Roman"/>
          <w:color w:val="2D2E2F"/>
        </w:rPr>
        <w:t xml:space="preserve">also increases the innovative motor vehicle tax credit from $1,000 to $2,000 for certain vehicles sold or leased during the 2027 income tax year, and from $500 to $1,000 for certain vehicles sold or leased during the 2028 income tax year. Currently, an additional $2,500 in tax credit is allowed for certain vehicles sold or leased on or after January 1, 2024, but prior to January 1, 2029, that have a manufacturer's suggested retail price (MSRP) below $35,000. </w:t>
      </w:r>
      <w:r>
        <w:rPr>
          <w:rFonts w:ascii="Times New Roman" w:eastAsia="Times New Roman" w:hAnsi="Times New Roman" w:cs="Times New Roman"/>
          <w:b/>
          <w:bCs/>
          <w:color w:val="2D2E2F"/>
        </w:rPr>
        <w:t>Section 7</w:t>
      </w:r>
      <w:r>
        <w:rPr>
          <w:rFonts w:ascii="Times New Roman" w:eastAsia="Times New Roman" w:hAnsi="Times New Roman" w:cs="Times New Roman"/>
          <w:color w:val="2D2E2F"/>
        </w:rPr>
        <w:t xml:space="preserve"> provides that certain vehicles with an MSRP below $40,000 that are sold or leased on or after January 1, 2027, but before January 1, 2029, are eligible for the additional tax credit.</w:t>
      </w:r>
    </w:p>
    <w:p w14:paraId="0000002A" w14:textId="77777777" w:rsidR="00296C82" w:rsidRDefault="00000000">
      <w:pPr>
        <w:numPr>
          <w:ilvl w:val="0"/>
          <w:numId w:val="4"/>
        </w:numPr>
      </w:pPr>
      <w:r>
        <w:rPr>
          <w:rFonts w:ascii="Times New Roman" w:eastAsia="Times New Roman" w:hAnsi="Times New Roman" w:cs="Times New Roman"/>
          <w:b/>
          <w:bCs/>
          <w:color w:val="2D2E2F"/>
        </w:rPr>
        <w:t>Section</w:t>
      </w:r>
      <w:r>
        <w:rPr>
          <w:rFonts w:ascii="Times New Roman" w:eastAsia="Times New Roman" w:hAnsi="Times New Roman" w:cs="Times New Roman"/>
          <w:color w:val="2D2E2F"/>
        </w:rPr>
        <w:t xml:space="preserve"> </w:t>
      </w:r>
      <w:r>
        <w:rPr>
          <w:rFonts w:ascii="Times New Roman" w:eastAsia="Times New Roman" w:hAnsi="Times New Roman" w:cs="Times New Roman"/>
          <w:b/>
          <w:bCs/>
          <w:color w:val="2D2E2F"/>
        </w:rPr>
        <w:t>8</w:t>
      </w:r>
      <w:r>
        <w:rPr>
          <w:rFonts w:ascii="Times New Roman" w:eastAsia="Times New Roman" w:hAnsi="Times New Roman" w:cs="Times New Roman"/>
          <w:color w:val="2D2E2F"/>
        </w:rPr>
        <w:t xml:space="preserve"> , for income tax years commencing on or after January 1, 2027, modifies the income tax credit for wildfire hazard mitigation expenses by adding the thinning of woody vegetation that is at risk of mountain pine beetle or spruce beetle infestation or that has been killed by mountain pine beetles or spruce beetles to the definition of "wildfire mitigation measures", modifying the amount of the credit available, and allowing the credit to be carried forward for 5 years;</w:t>
      </w:r>
    </w:p>
    <w:p w14:paraId="0000002B" w14:textId="77777777" w:rsidR="00296C82" w:rsidRDefault="00000000">
      <w:pPr>
        <w:numPr>
          <w:ilvl w:val="0"/>
          <w:numId w:val="4"/>
        </w:numPr>
      </w:pPr>
      <w:r>
        <w:rPr>
          <w:rFonts w:ascii="Times New Roman" w:eastAsia="Times New Roman" w:hAnsi="Times New Roman" w:cs="Times New Roman"/>
          <w:b/>
          <w:bCs/>
          <w:color w:val="2D2E2F"/>
        </w:rPr>
        <w:t>Section 9</w:t>
      </w:r>
      <w:r>
        <w:rPr>
          <w:rFonts w:ascii="Times New Roman" w:eastAsia="Times New Roman" w:hAnsi="Times New Roman" w:cs="Times New Roman"/>
          <w:color w:val="2D2E2F"/>
        </w:rPr>
        <w:t xml:space="preserve"> , for income tax years commencing on or after January 1, 2027, expands the income tax credit for the purchase of small food business recovery grant program equipment to be available for additional food distributors and producers, adjusts the amount of the tax credit that may be offered and claimed for the purchase of small food business recovery grant program equipment or participation in the supplemental food assistance benefit program, and dictates the order in which the department of agriculture shall award these tax credits;</w:t>
      </w:r>
    </w:p>
    <w:p w14:paraId="0000002C" w14:textId="77777777" w:rsidR="00296C82" w:rsidRDefault="00000000">
      <w:pPr>
        <w:numPr>
          <w:ilvl w:val="0"/>
          <w:numId w:val="4"/>
        </w:numPr>
      </w:pPr>
      <w:r>
        <w:rPr>
          <w:rFonts w:ascii="Times New Roman" w:eastAsia="Times New Roman" w:hAnsi="Times New Roman" w:cs="Times New Roman"/>
          <w:b/>
          <w:bCs/>
          <w:color w:val="2D2E2F"/>
        </w:rPr>
        <w:t>Sections 10</w:t>
      </w:r>
      <w:r>
        <w:rPr>
          <w:rFonts w:ascii="Times New Roman" w:eastAsia="Times New Roman" w:hAnsi="Times New Roman" w:cs="Times New Roman"/>
          <w:color w:val="2D2E2F"/>
        </w:rPr>
        <w:t xml:space="preserve"> and </w:t>
      </w:r>
      <w:r>
        <w:rPr>
          <w:rFonts w:ascii="Times New Roman" w:eastAsia="Times New Roman" w:hAnsi="Times New Roman" w:cs="Times New Roman"/>
          <w:b/>
          <w:bCs/>
          <w:color w:val="2D2E2F"/>
        </w:rPr>
        <w:t>16</w:t>
      </w:r>
      <w:r>
        <w:rPr>
          <w:rFonts w:ascii="Times New Roman" w:eastAsia="Times New Roman" w:hAnsi="Times New Roman" w:cs="Times New Roman"/>
          <w:color w:val="2D2E2F"/>
        </w:rPr>
        <w:t xml:space="preserve"> extend the electric powered lawn equipment tax credit until January 1, 2030, and allow a retailer to receive quarterly advance payments of the credit;</w:t>
      </w:r>
    </w:p>
    <w:p w14:paraId="0000002D" w14:textId="77777777" w:rsidR="00296C82" w:rsidRDefault="00000000">
      <w:pPr>
        <w:numPr>
          <w:ilvl w:val="0"/>
          <w:numId w:val="4"/>
        </w:numPr>
      </w:pPr>
      <w:r>
        <w:rPr>
          <w:rFonts w:ascii="Times New Roman" w:eastAsia="Times New Roman" w:hAnsi="Times New Roman" w:cs="Times New Roman"/>
          <w:b/>
          <w:bCs/>
          <w:color w:val="2D2E2F"/>
        </w:rPr>
        <w:t>Section 11</w:t>
      </w:r>
      <w:r>
        <w:rPr>
          <w:rFonts w:ascii="Times New Roman" w:eastAsia="Times New Roman" w:hAnsi="Times New Roman" w:cs="Times New Roman"/>
          <w:color w:val="2D2E2F"/>
        </w:rPr>
        <w:t xml:space="preserve"> , for income tax years commencing on or after January 1, 2027, allows an entity not subject to income tax to be eligible for an income tax credit for developing a qualified industrial facility, allows a taxpayer to claim the credit for installing equipment used for utilization of biomethane, and requires the Colorado energy office (CEO) to review applications for the credit within 120, rather than 90, days; </w:t>
      </w:r>
    </w:p>
    <w:p w14:paraId="0000002E" w14:textId="77777777" w:rsidR="00296C82" w:rsidRDefault="00000000">
      <w:pPr>
        <w:numPr>
          <w:ilvl w:val="0"/>
          <w:numId w:val="4"/>
        </w:numPr>
      </w:pPr>
      <w:r>
        <w:rPr>
          <w:rFonts w:ascii="Times New Roman" w:eastAsia="Times New Roman" w:hAnsi="Times New Roman" w:cs="Times New Roman"/>
          <w:b/>
          <w:bCs/>
          <w:color w:val="2D2E2F"/>
        </w:rPr>
        <w:t>Section 11</w:t>
      </w:r>
      <w:r>
        <w:rPr>
          <w:rFonts w:ascii="Times New Roman" w:eastAsia="Times New Roman" w:hAnsi="Times New Roman" w:cs="Times New Roman"/>
          <w:color w:val="2D2E2F"/>
        </w:rPr>
        <w:t xml:space="preserve"> also creates a new tax credit for geothermal energy projects for income tax years commencing on or after January 1, 2027. The amount of the credit cannot exceed $5 million per taxpayer aggregated across all income tax years for which the credit may be claimed. The total amount of credits cannot exceed $35 million across all income tax years commencing on or after January 1, 2027, but before January 1, 2033.</w:t>
      </w:r>
    </w:p>
    <w:p w14:paraId="0000002F" w14:textId="77777777" w:rsidR="00296C82" w:rsidRDefault="00000000">
      <w:pPr>
        <w:numPr>
          <w:ilvl w:val="0"/>
          <w:numId w:val="4"/>
        </w:numPr>
      </w:pPr>
      <w:r>
        <w:rPr>
          <w:rFonts w:ascii="Times New Roman" w:eastAsia="Times New Roman" w:hAnsi="Times New Roman" w:cs="Times New Roman"/>
          <w:b/>
          <w:bCs/>
          <w:color w:val="2D2E2F"/>
        </w:rPr>
        <w:t>Section 14</w:t>
      </w:r>
      <w:r>
        <w:rPr>
          <w:rFonts w:ascii="Times New Roman" w:eastAsia="Times New Roman" w:hAnsi="Times New Roman" w:cs="Times New Roman"/>
          <w:color w:val="2D2E2F"/>
        </w:rPr>
        <w:t xml:space="preserve"> repeals the sustainable aviation fuel (SAF) production facility tax credit, effective January 1, 2027; </w:t>
      </w:r>
    </w:p>
    <w:p w14:paraId="00000030" w14:textId="77777777" w:rsidR="00296C82" w:rsidRDefault="00000000">
      <w:pPr>
        <w:numPr>
          <w:ilvl w:val="0"/>
          <w:numId w:val="4"/>
        </w:numPr>
      </w:pPr>
      <w:r>
        <w:rPr>
          <w:rFonts w:ascii="Times New Roman" w:eastAsia="Times New Roman" w:hAnsi="Times New Roman" w:cs="Times New Roman"/>
          <w:b/>
          <w:bCs/>
          <w:color w:val="2D2E2F"/>
        </w:rPr>
        <w:t>Section 15</w:t>
      </w:r>
      <w:r>
        <w:rPr>
          <w:rFonts w:ascii="Times New Roman" w:eastAsia="Times New Roman" w:hAnsi="Times New Roman" w:cs="Times New Roman"/>
          <w:color w:val="2D2E2F"/>
        </w:rPr>
        <w:t xml:space="preserve"> establishes the sustainable aviation fuel purchase income tax credit for income tax years beginning on or after January 1, 2027, and before December 31, 2032. The amount of the credit is initially $1.50, increased by $.01 for each whole percentage of carbon intensity reduction in excess of 50%, per gallon of SAF purchased in the state by the taxpayer, and the CEO may adjust that amount annually. The total amount of credits issued cannot exceed $3 million per tax year. Taxpayers must apply to the CEO for a tax credit certificate and CEO verifies </w:t>
      </w:r>
      <w:r>
        <w:rPr>
          <w:rFonts w:ascii="Times New Roman" w:eastAsia="Times New Roman" w:hAnsi="Times New Roman" w:cs="Times New Roman"/>
          <w:color w:val="2D2E2F"/>
        </w:rPr>
        <w:lastRenderedPageBreak/>
        <w:t>eligibility and reports approved credits to the department of revenue. The credit is refundable but may not be carried forward.</w:t>
      </w:r>
    </w:p>
    <w:p w14:paraId="00000031" w14:textId="77777777" w:rsidR="00296C82" w:rsidRDefault="00000000">
      <w:pPr>
        <w:numPr>
          <w:ilvl w:val="0"/>
          <w:numId w:val="4"/>
        </w:numPr>
      </w:pPr>
      <w:r>
        <w:rPr>
          <w:rFonts w:ascii="Times New Roman" w:eastAsia="Times New Roman" w:hAnsi="Times New Roman" w:cs="Times New Roman"/>
          <w:b/>
          <w:bCs/>
          <w:color w:val="2D2E2F"/>
        </w:rPr>
        <w:t>Section 17</w:t>
      </w:r>
      <w:r>
        <w:rPr>
          <w:rFonts w:ascii="Times New Roman" w:eastAsia="Times New Roman" w:hAnsi="Times New Roman" w:cs="Times New Roman"/>
          <w:color w:val="2D2E2F"/>
        </w:rPr>
        <w:t xml:space="preserve"> repeals the precious metal and bullion coins sales and use tax exemption, effective January 1, 2027;</w:t>
      </w:r>
    </w:p>
    <w:p w14:paraId="00000032" w14:textId="77777777" w:rsidR="00296C82" w:rsidRDefault="00000000">
      <w:pPr>
        <w:numPr>
          <w:ilvl w:val="0"/>
          <w:numId w:val="4"/>
        </w:numPr>
      </w:pPr>
      <w:r>
        <w:rPr>
          <w:rFonts w:ascii="Times New Roman" w:eastAsia="Times New Roman" w:hAnsi="Times New Roman" w:cs="Times New Roman"/>
          <w:b/>
          <w:bCs/>
          <w:color w:val="2D2E2F"/>
        </w:rPr>
        <w:t>Section 18</w:t>
      </w:r>
      <w:r>
        <w:rPr>
          <w:rFonts w:ascii="Times New Roman" w:eastAsia="Times New Roman" w:hAnsi="Times New Roman" w:cs="Times New Roman"/>
          <w:color w:val="2D2E2F"/>
        </w:rPr>
        <w:t xml:space="preserve"> , for tax periods commencing on or after July 1, 2027, exempts from tax the storage, use, or consumption of construction and building materials by or on behalf of a common carrier by rail operating in interstate or foreign commerce when the storage, use, or consumption of the construction and building materials is pursuant to a contract with the state, a political subdivision of the state, or a special district that allows the contracting government to use the railroad's property or tracks for public passenger rail service.    </w:t>
      </w:r>
    </w:p>
    <w:p w14:paraId="00000033" w14:textId="77777777" w:rsidR="00296C82" w:rsidRDefault="00000000">
      <w:pPr>
        <w:numPr>
          <w:ilvl w:val="0"/>
          <w:numId w:val="4"/>
        </w:numPr>
      </w:pPr>
      <w:r>
        <w:rPr>
          <w:rFonts w:ascii="Times New Roman" w:eastAsia="Times New Roman" w:hAnsi="Times New Roman" w:cs="Times New Roman"/>
          <w:b/>
          <w:bCs/>
          <w:color w:val="2D2E2F"/>
        </w:rPr>
        <w:t>Section 19</w:t>
      </w:r>
      <w:r>
        <w:rPr>
          <w:rFonts w:ascii="Times New Roman" w:eastAsia="Times New Roman" w:hAnsi="Times New Roman" w:cs="Times New Roman"/>
          <w:color w:val="2D2E2F"/>
        </w:rPr>
        <w:t xml:space="preserve"> reinstates the sales and use tax exemption for wood from salvaged trees killed or infested in Colorado by mountain pine beetles or spruce beetles, which would otherwise expire on June 30, 2026, for a period beginning on July 1, 2027, and ending June 30, 2032;</w:t>
      </w:r>
    </w:p>
    <w:p w14:paraId="00000034" w14:textId="77777777" w:rsidR="00296C82" w:rsidRDefault="00000000">
      <w:pPr>
        <w:numPr>
          <w:ilvl w:val="0"/>
          <w:numId w:val="4"/>
        </w:numPr>
      </w:pPr>
      <w:r>
        <w:rPr>
          <w:rFonts w:ascii="Times New Roman" w:eastAsia="Times New Roman" w:hAnsi="Times New Roman" w:cs="Times New Roman"/>
          <w:b/>
          <w:bCs/>
          <w:color w:val="2D2E2F"/>
        </w:rPr>
        <w:t>Section 20</w:t>
      </w:r>
      <w:r>
        <w:rPr>
          <w:rFonts w:ascii="Times New Roman" w:eastAsia="Times New Roman" w:hAnsi="Times New Roman" w:cs="Times New Roman"/>
          <w:color w:val="2D2E2F"/>
        </w:rPr>
        <w:t xml:space="preserve"> repeals the sales and use tax exemption for property used in space flight, effective January 1, 2027;</w:t>
      </w:r>
    </w:p>
    <w:p w14:paraId="00000035" w14:textId="77777777" w:rsidR="00296C82" w:rsidRDefault="00000000">
      <w:pPr>
        <w:numPr>
          <w:ilvl w:val="0"/>
          <w:numId w:val="4"/>
        </w:numPr>
      </w:pPr>
      <w:r>
        <w:rPr>
          <w:rFonts w:ascii="Times New Roman" w:eastAsia="Times New Roman" w:hAnsi="Times New Roman" w:cs="Times New Roman"/>
          <w:b/>
          <w:bCs/>
          <w:color w:val="2D2E2F"/>
        </w:rPr>
        <w:t>Sections 21</w:t>
      </w:r>
      <w:r>
        <w:rPr>
          <w:rFonts w:ascii="Times New Roman" w:eastAsia="Times New Roman" w:hAnsi="Times New Roman" w:cs="Times New Roman"/>
          <w:color w:val="2D2E2F"/>
        </w:rPr>
        <w:t xml:space="preserve"> and </w:t>
      </w:r>
      <w:r>
        <w:rPr>
          <w:rFonts w:ascii="Times New Roman" w:eastAsia="Times New Roman" w:hAnsi="Times New Roman" w:cs="Times New Roman"/>
          <w:b/>
          <w:bCs/>
          <w:color w:val="2D2E2F"/>
        </w:rPr>
        <w:t>22</w:t>
      </w:r>
      <w:r>
        <w:rPr>
          <w:rFonts w:ascii="Times New Roman" w:eastAsia="Times New Roman" w:hAnsi="Times New Roman" w:cs="Times New Roman"/>
          <w:color w:val="2D2E2F"/>
        </w:rPr>
        <w:t xml:space="preserve"> change from 2% to 1% the allowance to cover losses in transit and in unloading gasoline or special fuel and repeals the 0.5% allowance for the costs of collecting the gasoline or special fuel excise tax and for uncollectible bad debts for tax periods beginning on or after January 1, 2027;</w:t>
      </w:r>
    </w:p>
    <w:p w14:paraId="00000036" w14:textId="77777777" w:rsidR="00296C82" w:rsidRDefault="00000000">
      <w:pPr>
        <w:numPr>
          <w:ilvl w:val="0"/>
          <w:numId w:val="4"/>
        </w:numPr>
      </w:pPr>
      <w:r>
        <w:rPr>
          <w:rFonts w:ascii="Times New Roman" w:eastAsia="Times New Roman" w:hAnsi="Times New Roman" w:cs="Times New Roman"/>
          <w:b/>
          <w:bCs/>
          <w:color w:val="2D2E2F"/>
        </w:rPr>
        <w:t>Section 23</w:t>
      </w:r>
      <w:r>
        <w:rPr>
          <w:rFonts w:ascii="Times New Roman" w:eastAsia="Times New Roman" w:hAnsi="Times New Roman" w:cs="Times New Roman"/>
          <w:color w:val="2D2E2F"/>
        </w:rPr>
        <w:t xml:space="preserve"> repeals the 3% deduction for collecting and remitting the tax on the inventory of cigarette wholesalers for tax periods beginning on or after January 1, 2027; </w:t>
      </w:r>
    </w:p>
    <w:p w14:paraId="00000037" w14:textId="77777777" w:rsidR="00296C82" w:rsidRDefault="00000000">
      <w:pPr>
        <w:numPr>
          <w:ilvl w:val="0"/>
          <w:numId w:val="4"/>
        </w:numPr>
      </w:pPr>
      <w:r>
        <w:rPr>
          <w:rFonts w:ascii="Times New Roman" w:eastAsia="Times New Roman" w:hAnsi="Times New Roman" w:cs="Times New Roman"/>
          <w:b/>
          <w:bCs/>
          <w:color w:val="2D2E2F"/>
        </w:rPr>
        <w:t>Section 24</w:t>
      </w:r>
      <w:r>
        <w:rPr>
          <w:rFonts w:ascii="Times New Roman" w:eastAsia="Times New Roman" w:hAnsi="Times New Roman" w:cs="Times New Roman"/>
          <w:color w:val="2D2E2F"/>
        </w:rPr>
        <w:t xml:space="preserve"> repeals the 0.4% discount on the face value of tax stamps affixed to packages containing cigarettes for tax periods beginning on or after January 1, 2027;</w:t>
      </w:r>
    </w:p>
    <w:p w14:paraId="00000038" w14:textId="77777777" w:rsidR="00296C82" w:rsidRDefault="00000000">
      <w:pPr>
        <w:numPr>
          <w:ilvl w:val="0"/>
          <w:numId w:val="4"/>
        </w:numPr>
      </w:pPr>
      <w:r>
        <w:rPr>
          <w:rFonts w:ascii="Times New Roman" w:eastAsia="Times New Roman" w:hAnsi="Times New Roman" w:cs="Times New Roman"/>
          <w:b/>
          <w:bCs/>
          <w:color w:val="2D2E2F"/>
        </w:rPr>
        <w:t>Section 26</w:t>
      </w:r>
      <w:r>
        <w:rPr>
          <w:rFonts w:ascii="Times New Roman" w:eastAsia="Times New Roman" w:hAnsi="Times New Roman" w:cs="Times New Roman"/>
          <w:color w:val="2D2E2F"/>
        </w:rPr>
        <w:t xml:space="preserve"> repeals the 1.6% discount for expenses in the collection and remittance of the tax on the sale, use, consumption, handling, and distribution of tobacco for tax periods beginning on or after January 1, 2027;</w:t>
      </w:r>
    </w:p>
    <w:p w14:paraId="00000039" w14:textId="77777777" w:rsidR="00296C82" w:rsidRDefault="00000000">
      <w:pPr>
        <w:numPr>
          <w:ilvl w:val="0"/>
          <w:numId w:val="4"/>
        </w:numPr>
      </w:pPr>
      <w:r>
        <w:rPr>
          <w:rFonts w:ascii="Times New Roman" w:eastAsia="Times New Roman" w:hAnsi="Times New Roman" w:cs="Times New Roman"/>
          <w:b/>
          <w:bCs/>
          <w:color w:val="2D2E2F"/>
        </w:rPr>
        <w:t>Section 27</w:t>
      </w:r>
      <w:r>
        <w:rPr>
          <w:rFonts w:ascii="Times New Roman" w:eastAsia="Times New Roman" w:hAnsi="Times New Roman" w:cs="Times New Roman"/>
          <w:color w:val="2D2E2F"/>
        </w:rPr>
        <w:t xml:space="preserve"> repeals the 1.1% discount for expenses in the collection and remittance of the nicotine product distributors tax for tax periods beginning on or after January 1, 2027;</w:t>
      </w:r>
    </w:p>
    <w:p w14:paraId="0000003A" w14:textId="77777777" w:rsidR="00296C82" w:rsidRDefault="00000000">
      <w:pPr>
        <w:numPr>
          <w:ilvl w:val="0"/>
          <w:numId w:val="4"/>
        </w:numPr>
      </w:pPr>
      <w:r>
        <w:rPr>
          <w:rFonts w:ascii="Times New Roman" w:eastAsia="Times New Roman" w:hAnsi="Times New Roman" w:cs="Times New Roman"/>
          <w:b/>
          <w:bCs/>
          <w:color w:val="2D2E2F"/>
        </w:rPr>
        <w:t xml:space="preserve">Section 28 </w:t>
      </w:r>
      <w:r>
        <w:rPr>
          <w:rFonts w:ascii="Times New Roman" w:eastAsia="Times New Roman" w:hAnsi="Times New Roman" w:cs="Times New Roman"/>
          <w:color w:val="2D2E2F"/>
        </w:rPr>
        <w:t>allows an income tax credit to a taxpayer who places a new renewable energy investment in service on or after January 1, 2027, and provides a 14-year carryover of any amount of the credit not used to offset the income taxes otherwise due;</w:t>
      </w:r>
    </w:p>
    <w:p w14:paraId="0000003B" w14:textId="77777777" w:rsidR="00296C82" w:rsidRDefault="00000000">
      <w:pPr>
        <w:numPr>
          <w:ilvl w:val="0"/>
          <w:numId w:val="4"/>
        </w:numPr>
      </w:pPr>
      <w:r>
        <w:rPr>
          <w:rFonts w:ascii="Times New Roman" w:eastAsia="Times New Roman" w:hAnsi="Times New Roman" w:cs="Times New Roman"/>
          <w:b/>
          <w:bCs/>
          <w:color w:val="2D2E2F"/>
        </w:rPr>
        <w:t>Section</w:t>
      </w:r>
      <w:r>
        <w:rPr>
          <w:rFonts w:ascii="Times New Roman" w:eastAsia="Times New Roman" w:hAnsi="Times New Roman" w:cs="Times New Roman"/>
          <w:color w:val="2D2E2F"/>
        </w:rPr>
        <w:t xml:space="preserve"> </w:t>
      </w:r>
      <w:r>
        <w:rPr>
          <w:rFonts w:ascii="Times New Roman" w:eastAsia="Times New Roman" w:hAnsi="Times New Roman" w:cs="Times New Roman"/>
          <w:b/>
          <w:bCs/>
          <w:color w:val="2D2E2F"/>
        </w:rPr>
        <w:t>28</w:t>
      </w:r>
      <w:r>
        <w:rPr>
          <w:rFonts w:ascii="Times New Roman" w:eastAsia="Times New Roman" w:hAnsi="Times New Roman" w:cs="Times New Roman"/>
          <w:color w:val="2D2E2F"/>
        </w:rPr>
        <w:t xml:space="preserve"> also eliminates the enterprise zone commercial vehicle tax credit for tax periods beginning on or after January 1, 2027;</w:t>
      </w:r>
    </w:p>
    <w:p w14:paraId="0000003C" w14:textId="77777777" w:rsidR="00296C82" w:rsidRDefault="00000000">
      <w:pPr>
        <w:numPr>
          <w:ilvl w:val="0"/>
          <w:numId w:val="4"/>
        </w:numPr>
      </w:pPr>
      <w:r>
        <w:rPr>
          <w:rFonts w:ascii="Times New Roman" w:eastAsia="Times New Roman" w:hAnsi="Times New Roman" w:cs="Times New Roman"/>
          <w:b/>
          <w:bCs/>
          <w:color w:val="2D2E2F"/>
        </w:rPr>
        <w:t>Section 29</w:t>
      </w:r>
      <w:r>
        <w:rPr>
          <w:rFonts w:ascii="Times New Roman" w:eastAsia="Times New Roman" w:hAnsi="Times New Roman" w:cs="Times New Roman"/>
          <w:color w:val="2D2E2F"/>
        </w:rPr>
        <w:t xml:space="preserve"> provides that on or after January 1, 2027, a taxpayer with more than 50 employees during an income tax year is ineligible for the new enterprise zone business employee tax credit in that same income tax year; </w:t>
      </w:r>
    </w:p>
    <w:p w14:paraId="0000003D" w14:textId="77777777" w:rsidR="00296C82" w:rsidRDefault="00000000">
      <w:pPr>
        <w:numPr>
          <w:ilvl w:val="0"/>
          <w:numId w:val="4"/>
        </w:numPr>
      </w:pPr>
      <w:r>
        <w:rPr>
          <w:rFonts w:ascii="Times New Roman" w:eastAsia="Times New Roman" w:hAnsi="Times New Roman" w:cs="Times New Roman"/>
          <w:b/>
          <w:bCs/>
          <w:color w:val="2D2E2F"/>
        </w:rPr>
        <w:t xml:space="preserve">Section 30 </w:t>
      </w:r>
      <w:r>
        <w:rPr>
          <w:rFonts w:ascii="Times New Roman" w:eastAsia="Times New Roman" w:hAnsi="Times New Roman" w:cs="Times New Roman"/>
          <w:color w:val="2D2E2F"/>
        </w:rPr>
        <w:t>requires, beginning January 1, 2027, a taxpayer to make at least $150,000 in expenditures in research and experimental activities to be eligible for the enterprise zone research and experimental activities tax credit;</w:t>
      </w:r>
    </w:p>
    <w:p w14:paraId="0000003E" w14:textId="77777777" w:rsidR="00296C82" w:rsidRDefault="00000000">
      <w:pPr>
        <w:numPr>
          <w:ilvl w:val="0"/>
          <w:numId w:val="4"/>
        </w:numPr>
      </w:pPr>
      <w:r>
        <w:rPr>
          <w:rFonts w:ascii="Times New Roman" w:eastAsia="Times New Roman" w:hAnsi="Times New Roman" w:cs="Times New Roman"/>
          <w:b/>
          <w:bCs/>
          <w:color w:val="2D2E2F"/>
        </w:rPr>
        <w:t>Section 31</w:t>
      </w:r>
      <w:r>
        <w:rPr>
          <w:rFonts w:ascii="Times New Roman" w:eastAsia="Times New Roman" w:hAnsi="Times New Roman" w:cs="Times New Roman"/>
          <w:color w:val="2D2E2F"/>
        </w:rPr>
        <w:t xml:space="preserve"> modifies the enterprise zone vacant building rehabilitation income tax credit so that the credit only applies to buildings that have been unoccupied for 183 days preceding when the rehabilitation is placed in service and is available in an amount equal to 25% of the aggregate qualified expenditures per building or $200,000 per building, whichever is less;</w:t>
      </w:r>
    </w:p>
    <w:p w14:paraId="0000003F" w14:textId="77777777" w:rsidR="00296C82" w:rsidRDefault="00000000">
      <w:pPr>
        <w:numPr>
          <w:ilvl w:val="0"/>
          <w:numId w:val="4"/>
        </w:numPr>
      </w:pPr>
      <w:r>
        <w:rPr>
          <w:rFonts w:ascii="Times New Roman" w:eastAsia="Times New Roman" w:hAnsi="Times New Roman" w:cs="Times New Roman"/>
          <w:b/>
          <w:bCs/>
          <w:color w:val="2D2E2F"/>
        </w:rPr>
        <w:t>Section 32,</w:t>
      </w:r>
      <w:r>
        <w:rPr>
          <w:rFonts w:ascii="Times New Roman" w:eastAsia="Times New Roman" w:hAnsi="Times New Roman" w:cs="Times New Roman"/>
          <w:color w:val="2D2E2F"/>
        </w:rPr>
        <w:t xml:space="preserve"> beginning January 1, 2027, ends the availability of grants for real property tax assistance and heat or fuel expenses assistance; and</w:t>
      </w:r>
    </w:p>
    <w:p w14:paraId="00000040" w14:textId="77777777" w:rsidR="00296C82" w:rsidRDefault="00000000">
      <w:pPr>
        <w:numPr>
          <w:ilvl w:val="0"/>
          <w:numId w:val="4"/>
        </w:numPr>
      </w:pPr>
      <w:r>
        <w:rPr>
          <w:rFonts w:ascii="Times New Roman" w:eastAsia="Times New Roman" w:hAnsi="Times New Roman" w:cs="Times New Roman"/>
          <w:b/>
          <w:bCs/>
          <w:color w:val="2D2E2F"/>
        </w:rPr>
        <w:t xml:space="preserve">Sections 33 </w:t>
      </w:r>
      <w:r>
        <w:rPr>
          <w:rFonts w:ascii="Times New Roman" w:eastAsia="Times New Roman" w:hAnsi="Times New Roman" w:cs="Times New Roman"/>
          <w:color w:val="2D2E2F"/>
        </w:rPr>
        <w:t xml:space="preserve">through </w:t>
      </w:r>
      <w:r>
        <w:rPr>
          <w:rFonts w:ascii="Times New Roman" w:eastAsia="Times New Roman" w:hAnsi="Times New Roman" w:cs="Times New Roman"/>
          <w:b/>
          <w:bCs/>
          <w:color w:val="2D2E2F"/>
        </w:rPr>
        <w:t xml:space="preserve">39 </w:t>
      </w:r>
      <w:r>
        <w:rPr>
          <w:rFonts w:ascii="Times New Roman" w:eastAsia="Times New Roman" w:hAnsi="Times New Roman" w:cs="Times New Roman"/>
          <w:color w:val="2D2E2F"/>
        </w:rPr>
        <w:t xml:space="preserve">make conforming amendments for the changes made in </w:t>
      </w:r>
      <w:r>
        <w:rPr>
          <w:rFonts w:ascii="Times New Roman" w:eastAsia="Times New Roman" w:hAnsi="Times New Roman" w:cs="Times New Roman"/>
          <w:b/>
          <w:bCs/>
          <w:color w:val="2D2E2F"/>
        </w:rPr>
        <w:t xml:space="preserve">sections 4 </w:t>
      </w:r>
      <w:r>
        <w:rPr>
          <w:rFonts w:ascii="Times New Roman" w:eastAsia="Times New Roman" w:hAnsi="Times New Roman" w:cs="Times New Roman"/>
          <w:color w:val="2D2E2F"/>
        </w:rPr>
        <w:t xml:space="preserve">and </w:t>
      </w:r>
      <w:r>
        <w:rPr>
          <w:rFonts w:ascii="Times New Roman" w:eastAsia="Times New Roman" w:hAnsi="Times New Roman" w:cs="Times New Roman"/>
          <w:b/>
          <w:bCs/>
          <w:color w:val="2D2E2F"/>
        </w:rPr>
        <w:t>32.</w:t>
      </w:r>
    </w:p>
    <w:p w14:paraId="00000041" w14:textId="77777777" w:rsidR="00296C82" w:rsidRDefault="00296C82">
      <w:pPr>
        <w:rPr>
          <w:rFonts w:ascii="Times New Roman" w:eastAsia="Times New Roman" w:hAnsi="Times New Roman" w:cs="Times New Roman"/>
        </w:rPr>
      </w:pPr>
    </w:p>
    <w:p w14:paraId="00000042" w14:textId="77777777" w:rsidR="00296C82" w:rsidRDefault="00296C82">
      <w:pPr>
        <w:rPr>
          <w:rFonts w:ascii="Times New Roman" w:eastAsia="Times New Roman" w:hAnsi="Times New Roman" w:cs="Times New Roman"/>
          <w:b/>
          <w:bCs/>
        </w:rPr>
      </w:pPr>
    </w:p>
    <w:p w14:paraId="00000043" w14:textId="77777777" w:rsidR="00296C82" w:rsidRDefault="00296C82">
      <w:pPr>
        <w:rPr>
          <w:rFonts w:ascii="Times New Roman" w:eastAsia="Times New Roman" w:hAnsi="Times New Roman" w:cs="Times New Roman"/>
          <w:b/>
          <w:bCs/>
        </w:rPr>
      </w:pPr>
    </w:p>
    <w:sectPr w:rsidR="00296C8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B8BCEA-081A-4E1D-8438-23434F1E8AB9}"/>
  </w:font>
  <w:font w:name="Cambria">
    <w:panose1 w:val="02040503050406030204"/>
    <w:charset w:val="00"/>
    <w:family w:val="roman"/>
    <w:pitch w:val="variable"/>
    <w:sig w:usb0="E00006FF" w:usb1="420024FF" w:usb2="02000000" w:usb3="00000000" w:csb0="0000019F" w:csb1="00000000"/>
    <w:embedRegular r:id="rId2" w:fontKey="{29510124-8ED8-4C1A-9486-1E5D7622B8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73BE2"/>
    <w:multiLevelType w:val="multilevel"/>
    <w:tmpl w:val="386286E6"/>
    <w:lvl w:ilvl="0">
      <w:start w:val="1"/>
      <w:numFmt w:val="bullet"/>
      <w:lvlText w:val="●"/>
      <w:lvlJc w:val="left"/>
      <w:pPr>
        <w:ind w:left="720" w:hanging="360"/>
      </w:pPr>
      <w:rPr>
        <w:rFonts w:ascii="Times New Roman" w:eastAsia="Times New Roman" w:hAnsi="Times New Roman" w:cs="Times New Roman"/>
        <w:b w:val="0"/>
        <w:bCs w:val="0"/>
        <w:i w:val="0"/>
        <w:iCs w:val="0"/>
        <w:smallCaps w:val="0"/>
        <w:strike w:val="0"/>
        <w:color w:val="2D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766B79"/>
    <w:multiLevelType w:val="multilevel"/>
    <w:tmpl w:val="7A78ED76"/>
    <w:lvl w:ilvl="0">
      <w:start w:val="1"/>
      <w:numFmt w:val="bullet"/>
      <w:lvlText w:val="●"/>
      <w:lvlJc w:val="left"/>
      <w:pPr>
        <w:ind w:left="720" w:hanging="360"/>
      </w:pPr>
      <w:rPr>
        <w:rFonts w:ascii="Times New Roman" w:eastAsia="Times New Roman" w:hAnsi="Times New Roman" w:cs="Times New Roman"/>
        <w:b w:val="0"/>
        <w:bCs w:val="0"/>
        <w:i w:val="0"/>
        <w:iCs w:val="0"/>
        <w:smallCaps w:val="0"/>
        <w:strike w:val="0"/>
        <w:color w:val="2D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556F57"/>
    <w:multiLevelType w:val="multilevel"/>
    <w:tmpl w:val="758C0B42"/>
    <w:lvl w:ilvl="0">
      <w:start w:val="1"/>
      <w:numFmt w:val="bullet"/>
      <w:lvlText w:val="●"/>
      <w:lvlJc w:val="left"/>
      <w:pPr>
        <w:ind w:left="720" w:hanging="360"/>
      </w:pPr>
      <w:rPr>
        <w:rFonts w:ascii="Times New Roman" w:eastAsia="Times New Roman" w:hAnsi="Times New Roman" w:cs="Times New Roman"/>
        <w:b w:val="0"/>
        <w:bCs w:val="0"/>
        <w:i w:val="0"/>
        <w:iCs w:val="0"/>
        <w:smallCaps w:val="0"/>
        <w:strike w:val="0"/>
        <w:color w:val="2D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873311"/>
    <w:multiLevelType w:val="multilevel"/>
    <w:tmpl w:val="886C2B4A"/>
    <w:lvl w:ilvl="0">
      <w:start w:val="1"/>
      <w:numFmt w:val="bullet"/>
      <w:lvlText w:val="●"/>
      <w:lvlJc w:val="left"/>
      <w:pPr>
        <w:ind w:left="720" w:hanging="360"/>
      </w:pPr>
      <w:rPr>
        <w:rFonts w:ascii="Times New Roman" w:eastAsia="Times New Roman" w:hAnsi="Times New Roman" w:cs="Times New Roman"/>
        <w:b w:val="0"/>
        <w:bCs w:val="0"/>
        <w:i w:val="0"/>
        <w:iCs w:val="0"/>
        <w:smallCaps w:val="0"/>
        <w:strike w:val="0"/>
        <w:color w:val="2D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1878192">
    <w:abstractNumId w:val="0"/>
  </w:num>
  <w:num w:numId="2" w16cid:durableId="1353722743">
    <w:abstractNumId w:val="3"/>
  </w:num>
  <w:num w:numId="3" w16cid:durableId="326252195">
    <w:abstractNumId w:val="1"/>
  </w:num>
  <w:num w:numId="4" w16cid:durableId="1413114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82"/>
    <w:rsid w:val="001B5D18"/>
    <w:rsid w:val="00296C82"/>
    <w:rsid w:val="005C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693B30-7A8F-4B77-B9C8-6A55DCBE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eg.colorado.gov/bills/HB26-1289" TargetMode="External"/><Relationship Id="rId3" Type="http://schemas.openxmlformats.org/officeDocument/2006/relationships/settings" Target="settings.xml"/><Relationship Id="rId7" Type="http://schemas.openxmlformats.org/officeDocument/2006/relationships/hyperlink" Target="https://leg.colorado.gov/bills/HB26-122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eg.colorado.gov/bills/HB26-1222" TargetMode="External"/><Relationship Id="rId5" Type="http://schemas.openxmlformats.org/officeDocument/2006/relationships/hyperlink" Target="https://leg.colorado.gov/bills/HB26-122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2575</Words>
  <Characters>14678</Characters>
  <Application>Microsoft Office Word</Application>
  <DocSecurity>0</DocSecurity>
  <Lines>122</Lines>
  <Paragraphs>34</Paragraphs>
  <ScaleCrop>false</ScaleCrop>
  <Company/>
  <LinksUpToDate>false</LinksUpToDate>
  <CharactersWithSpaces>17219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Morgan</dc:creator>
  <cp:lastModifiedBy>Heidi Morgan</cp:lastModifiedBy>
  <cp:revision>2</cp:revision>
  <dcterms:created xsi:type="dcterms:W3CDTF">2026-05-05T17:07:00Z</dcterms:created>
  <dcterms:modified xsi:type="dcterms:W3CDTF">2026-05-05T17:07:00Z</dcterms:modified>
</cp:coreProperties>
</file>